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A3B3" w14:textId="4C7A985E" w:rsidR="00825282" w:rsidRPr="00825282" w:rsidRDefault="00825282" w:rsidP="00825282">
      <w:pPr>
        <w:rPr>
          <w:b/>
          <w:bCs/>
        </w:rPr>
      </w:pPr>
      <w:r w:rsidRPr="00825282">
        <w:rPr>
          <w:b/>
          <w:bCs/>
        </w:rPr>
        <w:t xml:space="preserve">Autorizzazione alla costruzione ed all'esercizio di un impianto di produzione di energia da fonti rinnovabili </w:t>
      </w:r>
    </w:p>
    <w:p w14:paraId="07505A75" w14:textId="3448667A" w:rsidR="00825282" w:rsidRPr="00825282" w:rsidRDefault="00825282" w:rsidP="00825282">
      <w:pPr>
        <w:jc w:val="both"/>
      </w:pPr>
      <w:r w:rsidRPr="00825282">
        <w:t xml:space="preserve">La provincia di </w:t>
      </w:r>
      <w:r>
        <w:t>Lecco</w:t>
      </w:r>
      <w:r w:rsidRPr="00825282">
        <w:t xml:space="preserve"> rilascia l'autorizzazione unica per la produzione di </w:t>
      </w:r>
      <w:r>
        <w:t>energia da fonti energetiche rinnovabili (FER)</w:t>
      </w:r>
      <w:r w:rsidRPr="00825282">
        <w:t xml:space="preserve"> ai sensi dell'art. 12, comma 3, del d.lgs. 387/03 e </w:t>
      </w:r>
      <w:proofErr w:type="spellStart"/>
      <w:r w:rsidRPr="00825282">
        <w:t>s.m.i.</w:t>
      </w:r>
      <w:proofErr w:type="spellEnd"/>
      <w:r w:rsidRPr="00825282">
        <w:t xml:space="preserve"> in quanto delegata dalla Regione Lombardia ai sensi della legge regionale n° 26/2003 e </w:t>
      </w:r>
      <w:proofErr w:type="spellStart"/>
      <w:r w:rsidRPr="00825282">
        <w:t>s.m.i.</w:t>
      </w:r>
      <w:proofErr w:type="spellEnd"/>
      <w:r w:rsidRPr="00825282">
        <w:t xml:space="preserve">, secondo le modalità previste dal D.M. 10.09.2010 e dalle Linee Guida regionali di cui alla </w:t>
      </w:r>
      <w:proofErr w:type="spellStart"/>
      <w:r w:rsidRPr="00825282">
        <w:t>d.g.r</w:t>
      </w:r>
      <w:proofErr w:type="spellEnd"/>
      <w:r w:rsidRPr="00825282">
        <w:t>. XI/4803 del 31/05/2021.</w:t>
      </w:r>
    </w:p>
    <w:p w14:paraId="30AB006A" w14:textId="74610D64" w:rsidR="00825282" w:rsidRPr="00825282" w:rsidRDefault="00825282" w:rsidP="00825282">
      <w:pPr>
        <w:jc w:val="both"/>
        <w:rPr>
          <w:b/>
          <w:bCs/>
        </w:rPr>
      </w:pPr>
      <w:r w:rsidRPr="00825282">
        <w:rPr>
          <w:b/>
          <w:bCs/>
        </w:rPr>
        <w:t>In data 30 dicembre 2024 è entrato in vigore il Decreto Legislativo 25 novembre 2024, n.190 che aggiorna / modifica i regimi amministrativi per la produzione di energia da fonti rinnovabili.</w:t>
      </w:r>
    </w:p>
    <w:p w14:paraId="1C96FC78" w14:textId="39EFCFC9" w:rsidR="00825282" w:rsidRPr="00825282" w:rsidRDefault="00825282" w:rsidP="00825282">
      <w:pPr>
        <w:jc w:val="both"/>
        <w:rPr>
          <w:b/>
          <w:bCs/>
        </w:rPr>
      </w:pPr>
      <w:r w:rsidRPr="00825282">
        <w:rPr>
          <w:b/>
          <w:bCs/>
        </w:rPr>
        <w:t>Ai sensi dell’art.1 – comma 3 del medesimo decreto, nelle more dell’adeguamento della normativa regionale e comunque non oltre 180 giorni dal 3</w:t>
      </w:r>
      <w:r w:rsidR="005A18FD">
        <w:rPr>
          <w:b/>
          <w:bCs/>
        </w:rPr>
        <w:t>0</w:t>
      </w:r>
      <w:r w:rsidRPr="00825282">
        <w:rPr>
          <w:b/>
          <w:bCs/>
        </w:rPr>
        <w:t>.12.2024, si applica la disciplina previgente, come di seguito indicato.</w:t>
      </w:r>
    </w:p>
    <w:p w14:paraId="716076EE" w14:textId="77777777" w:rsidR="00825282" w:rsidRDefault="00825282" w:rsidP="00825282">
      <w:pPr>
        <w:rPr>
          <w:b/>
          <w:bCs/>
        </w:rPr>
      </w:pPr>
    </w:p>
    <w:p w14:paraId="2B3BA80B" w14:textId="444A4C5D" w:rsidR="00825282" w:rsidRPr="00825282" w:rsidRDefault="00825282" w:rsidP="00825282">
      <w:pPr>
        <w:rPr>
          <w:b/>
          <w:bCs/>
        </w:rPr>
      </w:pPr>
      <w:r w:rsidRPr="00825282">
        <w:rPr>
          <w:b/>
          <w:bCs/>
        </w:rPr>
        <w:t>Adempimenti</w:t>
      </w:r>
    </w:p>
    <w:p w14:paraId="2AAA770E" w14:textId="77777777" w:rsidR="00825282" w:rsidRPr="00825282" w:rsidRDefault="00825282" w:rsidP="00825282">
      <w:pPr>
        <w:jc w:val="both"/>
      </w:pPr>
      <w:r w:rsidRPr="00825282">
        <w:t>La procedura autorizzativa è stabilita dal D.lgs. 387/2003 (art 12, comma 4 e 4-bis). L'autorizzazione è rilasciata a seguito di un procedimento unico, comprensivo, ove previste, delle valutazioni ambientali di cui al titolo III della parte seconda del decreto legislativo 3 aprile 2006, n. 152, al quale partecipano tutte le amministrazioni interessate, svolto nel rispetto dei principi di semplificazione e con le modalità stabilite dalla legge 7 agosto 1990, n. 241. Il rilascio dell'autorizzazione comprende, ove previsti, i provvedimenti di valutazione ambientale di cui al titolo III della parte seconda del decreto legislativo 3 aprile 2006, n. 152, costituisce titolo a costruire ed esercire l'impianto in conformità al progetto approvato e deve contenere l'obbligo alla rimessa in pristino dello stato dei luoghi a carico del soggetto esercente a seguito della dismissione dell'impianto.</w:t>
      </w:r>
    </w:p>
    <w:p w14:paraId="79750450" w14:textId="77777777" w:rsidR="00825282" w:rsidRDefault="00825282" w:rsidP="00825282">
      <w:pPr>
        <w:rPr>
          <w:b/>
          <w:bCs/>
        </w:rPr>
      </w:pPr>
    </w:p>
    <w:p w14:paraId="450F8A64" w14:textId="1CBF7EED" w:rsidR="00825282" w:rsidRPr="00825282" w:rsidRDefault="00825282" w:rsidP="00825282">
      <w:r w:rsidRPr="00825282">
        <w:rPr>
          <w:b/>
          <w:bCs/>
        </w:rPr>
        <w:t>Come presentare la domanda</w:t>
      </w:r>
    </w:p>
    <w:p w14:paraId="003CE55D" w14:textId="19337670" w:rsidR="00825282" w:rsidRPr="00825282" w:rsidRDefault="00825282" w:rsidP="00825282">
      <w:pPr>
        <w:jc w:val="both"/>
      </w:pPr>
      <w:r w:rsidRPr="00825282">
        <w:t xml:space="preserve">Dal 20 febbraio 2014, con </w:t>
      </w:r>
      <w:proofErr w:type="spellStart"/>
      <w:r w:rsidRPr="00825282">
        <w:t>D.d.s</w:t>
      </w:r>
      <w:proofErr w:type="spellEnd"/>
      <w:r w:rsidRPr="00825282">
        <w:t>. del 6 dicembre 2013 (pubblicata sul Bollettino Ufficiale Regione Lombardia serie Ordinaria n.51 del 17/12/2013) Regione Lombardia ha approvato la modulistica per la presentazione della richiesta di autorizzazione unica (AU) e ha predisposto che la presentazione delle istanze avvenga via telematica sul portale Procedimenti di regione al seguente link, secondo la modulistica ivi indicata:</w:t>
      </w:r>
    </w:p>
    <w:p w14:paraId="04D802D2" w14:textId="62A5069E" w:rsidR="003D2EBA" w:rsidRDefault="00D916AF" w:rsidP="00825282">
      <w:pPr>
        <w:rPr>
          <w:b/>
          <w:bCs/>
        </w:rPr>
      </w:pPr>
      <w:hyperlink r:id="rId5" w:history="1">
        <w:r w:rsidRPr="00C249F7">
          <w:rPr>
            <w:rStyle w:val="Collegamentoipertestuale"/>
          </w:rPr>
          <w:t>https://www.procedimenti.servizirl.it/procedimenti/html/public/ambito/Ambito_1</w:t>
        </w:r>
      </w:hyperlink>
      <w:r>
        <w:t xml:space="preserve"> </w:t>
      </w:r>
    </w:p>
    <w:p w14:paraId="4C0A94A0" w14:textId="77777777" w:rsidR="003D2EBA" w:rsidRDefault="003D2EBA" w:rsidP="00825282">
      <w:pPr>
        <w:rPr>
          <w:b/>
          <w:bCs/>
        </w:rPr>
      </w:pPr>
    </w:p>
    <w:p w14:paraId="61B84AE5" w14:textId="77777777" w:rsidR="003D2EBA" w:rsidRDefault="003D2EBA" w:rsidP="00825282">
      <w:pPr>
        <w:rPr>
          <w:b/>
          <w:bCs/>
        </w:rPr>
      </w:pPr>
    </w:p>
    <w:p w14:paraId="29FF6D52" w14:textId="77777777" w:rsidR="00D916AF" w:rsidRDefault="00D916AF" w:rsidP="00825282">
      <w:pPr>
        <w:rPr>
          <w:b/>
          <w:bCs/>
        </w:rPr>
      </w:pPr>
    </w:p>
    <w:p w14:paraId="68F65314" w14:textId="4CF4ADB1" w:rsidR="00825282" w:rsidRPr="00825282" w:rsidRDefault="00825282" w:rsidP="00825282">
      <w:r w:rsidRPr="00825282">
        <w:rPr>
          <w:b/>
          <w:bCs/>
        </w:rPr>
        <w:lastRenderedPageBreak/>
        <w:t>Contenuti</w:t>
      </w:r>
    </w:p>
    <w:p w14:paraId="4CDE17EE" w14:textId="0BA9DEC1" w:rsidR="00825282" w:rsidRPr="00825282" w:rsidRDefault="003D2EBA" w:rsidP="003D2EBA">
      <w:pPr>
        <w:jc w:val="both"/>
      </w:pPr>
      <w:r>
        <w:t>L</w:t>
      </w:r>
      <w:r w:rsidR="00825282" w:rsidRPr="00825282">
        <w:t>a domanda</w:t>
      </w:r>
      <w:r>
        <w:t xml:space="preserve"> deve essere</w:t>
      </w:r>
      <w:r w:rsidR="00825282" w:rsidRPr="00825282">
        <w:t xml:space="preserve"> corredata dalla necessaria documentazione tecnica, </w:t>
      </w:r>
      <w:r>
        <w:t xml:space="preserve">comprensiva degli elaborati </w:t>
      </w:r>
      <w:r w:rsidR="00825282" w:rsidRPr="00825282">
        <w:t>eventualmente richiest</w:t>
      </w:r>
      <w:r>
        <w:t>i</w:t>
      </w:r>
      <w:r w:rsidR="00825282" w:rsidRPr="00825282">
        <w:t xml:space="preserve"> dalle normative di settore rilevanti</w:t>
      </w:r>
      <w:r>
        <w:t xml:space="preserve"> per il caso di specie,</w:t>
      </w:r>
      <w:r w:rsidR="00825282" w:rsidRPr="00825282">
        <w:t xml:space="preserve"> per l'ottenimento di tutte le autorizzazioni, concessioni, nulla osta o atti di assenso comunque denominati che confluiscono nel procedimento unico; deve contenere la lista di tutte le autorizzazioni, assensi, nulla osta necessari con l’elenco di tutti gli </w:t>
      </w:r>
      <w:r w:rsidR="00825282" w:rsidRPr="00825282">
        <w:rPr>
          <w:b/>
          <w:bCs/>
        </w:rPr>
        <w:t>Enti e/o soggetti privati</w:t>
      </w:r>
      <w:r w:rsidR="00825282" w:rsidRPr="00825282">
        <w:t> interessati, che a qualsiasi titolo devono essere coinvolti nel procedimento.</w:t>
      </w:r>
    </w:p>
    <w:p w14:paraId="7F48F45A" w14:textId="77777777" w:rsidR="00825282" w:rsidRPr="00825282" w:rsidRDefault="00825282" w:rsidP="003D2EBA">
      <w:pPr>
        <w:jc w:val="both"/>
      </w:pPr>
      <w:r w:rsidRPr="00825282">
        <w:t>Qualora il progetto preveda anche l</w:t>
      </w:r>
      <w:r w:rsidRPr="00825282">
        <w:rPr>
          <w:b/>
          <w:bCs/>
        </w:rPr>
        <w:t>a realizzazione di una rete di connessione </w:t>
      </w:r>
      <w:r w:rsidRPr="00825282">
        <w:t xml:space="preserve">alla rete elettrica è necessario produrre la documentazione prevista alla </w:t>
      </w:r>
      <w:proofErr w:type="spellStart"/>
      <w:r w:rsidRPr="00825282">
        <w:t>d.g.r</w:t>
      </w:r>
      <w:proofErr w:type="spellEnd"/>
      <w:r w:rsidRPr="00825282">
        <w:t>. XI/4803 del 31/05/2021.</w:t>
      </w:r>
    </w:p>
    <w:p w14:paraId="2CD31A4E" w14:textId="629F229A" w:rsidR="00825282" w:rsidRPr="00825282" w:rsidRDefault="003D2EBA" w:rsidP="003D2EBA">
      <w:pPr>
        <w:jc w:val="both"/>
      </w:pPr>
      <w:r>
        <w:t>I</w:t>
      </w:r>
      <w:r w:rsidR="00825282" w:rsidRPr="00825282">
        <w:t xml:space="preserve">l proponente, in sede di presentazione della domanda di autorizzazione, può richiedere la dichiarazione di pubblica utilità e l'apposizione del vincolo preordinato all'esproprio delle aree interessate dalla realizzazione dell'impianto e delle opere connesse. </w:t>
      </w:r>
      <w:r>
        <w:t>In tal caso,</w:t>
      </w:r>
      <w:r w:rsidR="00825282" w:rsidRPr="00825282">
        <w:t xml:space="preserve"> ai sensi del d.p.r. 327/2001 e </w:t>
      </w:r>
      <w:proofErr w:type="spellStart"/>
      <w:r w:rsidR="00825282" w:rsidRPr="00825282">
        <w:t>s.m.i.</w:t>
      </w:r>
      <w:proofErr w:type="spellEnd"/>
      <w:r w:rsidR="00825282" w:rsidRPr="00825282">
        <w:t xml:space="preserve">, </w:t>
      </w:r>
      <w:r>
        <w:t>saranno coinvolti nel procedimento</w:t>
      </w:r>
      <w:r w:rsidR="00825282" w:rsidRPr="00825282">
        <w:t xml:space="preserve"> i proprietari </w:t>
      </w:r>
      <w:r>
        <w:t xml:space="preserve">dei terreni e </w:t>
      </w:r>
      <w:r w:rsidR="00825282" w:rsidRPr="00825282">
        <w:t>degli immobili interessati dalle opere da realizzare e la conferenza di servizi, ai sensi della normativa vigente, sarà indetta solo ad avvenuta partecipazione del pubblico al procedimento istruttorio, nelle forme di pubblicità previste dal Testo Unico sugli Espropri.</w:t>
      </w:r>
    </w:p>
    <w:p w14:paraId="39A4F4AF" w14:textId="33F270DE" w:rsidR="00825282" w:rsidRPr="00825282" w:rsidRDefault="00825282" w:rsidP="003D2EBA">
      <w:pPr>
        <w:jc w:val="both"/>
      </w:pPr>
      <w:r w:rsidRPr="00825282">
        <w:t xml:space="preserve">La documentazione tecnica di cui alla D.G.R. n. 8/2121 del 15.03.2006, relativa all'autorizzazione paesaggistica, da allegare ai sensi dell'art. 80 comma 3 lettera e ter) della L.R. 12/2005 e </w:t>
      </w:r>
      <w:proofErr w:type="spellStart"/>
      <w:r w:rsidRPr="00825282">
        <w:t>s.m.i.</w:t>
      </w:r>
      <w:proofErr w:type="spellEnd"/>
      <w:r w:rsidRPr="00825282">
        <w:t xml:space="preserve"> solo se l'impianto di produzione di energia è ubicato in zona soggetta a vincolo paesaggistico</w:t>
      </w:r>
      <w:r w:rsidR="003D2EBA">
        <w:t xml:space="preserve">. </w:t>
      </w:r>
      <w:r w:rsidR="003D2EBA" w:rsidRPr="00CE2320">
        <w:rPr>
          <w:b/>
          <w:bCs/>
        </w:rPr>
        <w:t xml:space="preserve">Si evidenzia che la competenza per </w:t>
      </w:r>
      <w:r w:rsidR="00CE2320" w:rsidRPr="00CE2320">
        <w:rPr>
          <w:b/>
          <w:bCs/>
        </w:rPr>
        <w:t xml:space="preserve">l’esercizio delle funzioni amministrative in materia </w:t>
      </w:r>
      <w:r w:rsidR="003D2EBA" w:rsidRPr="00CE2320">
        <w:rPr>
          <w:b/>
          <w:bCs/>
        </w:rPr>
        <w:t>paesaggistica</w:t>
      </w:r>
      <w:r w:rsidR="00CE2320" w:rsidRPr="00CE2320">
        <w:rPr>
          <w:b/>
          <w:bCs/>
        </w:rPr>
        <w:t xml:space="preserve"> per opere relative alla produzione di energia elettrica da fonti energetiche rinnovabili</w:t>
      </w:r>
      <w:r w:rsidR="00CE2320">
        <w:rPr>
          <w:b/>
          <w:bCs/>
        </w:rPr>
        <w:t xml:space="preserve"> oggetto di autorizzazione unica di competenza provinciale</w:t>
      </w:r>
      <w:r w:rsidR="00CE2320" w:rsidRPr="00CE2320">
        <w:rPr>
          <w:b/>
          <w:bCs/>
        </w:rPr>
        <w:t xml:space="preserve"> </w:t>
      </w:r>
      <w:r w:rsidR="003D2EBA" w:rsidRPr="00CE2320">
        <w:rPr>
          <w:b/>
          <w:bCs/>
        </w:rPr>
        <w:t xml:space="preserve"> è attribuit</w:t>
      </w:r>
      <w:r w:rsidR="00CE2320" w:rsidRPr="00CE2320">
        <w:rPr>
          <w:b/>
          <w:bCs/>
        </w:rPr>
        <w:t>a</w:t>
      </w:r>
      <w:r w:rsidR="003D2EBA" w:rsidRPr="00CE2320">
        <w:rPr>
          <w:b/>
          <w:bCs/>
        </w:rPr>
        <w:t>, ai sensi dell’art.</w:t>
      </w:r>
      <w:r w:rsidR="00CE2320" w:rsidRPr="00CE2320">
        <w:rPr>
          <w:b/>
          <w:bCs/>
        </w:rPr>
        <w:t xml:space="preserve">80 – comma 4 della </w:t>
      </w:r>
      <w:proofErr w:type="spellStart"/>
      <w:r w:rsidR="00CE2320" w:rsidRPr="00CE2320">
        <w:rPr>
          <w:b/>
          <w:bCs/>
        </w:rPr>
        <w:t>l.r</w:t>
      </w:r>
      <w:proofErr w:type="spellEnd"/>
      <w:r w:rsidR="00CE2320" w:rsidRPr="00CE2320">
        <w:rPr>
          <w:b/>
          <w:bCs/>
        </w:rPr>
        <w:t xml:space="preserve">. 12/2005, alla </w:t>
      </w:r>
      <w:r w:rsidR="00CE2320">
        <w:rPr>
          <w:b/>
          <w:bCs/>
        </w:rPr>
        <w:t xml:space="preserve">medesima </w:t>
      </w:r>
      <w:r w:rsidR="00CE2320" w:rsidRPr="00CE2320">
        <w:rPr>
          <w:b/>
          <w:bCs/>
        </w:rPr>
        <w:t xml:space="preserve">provincia ed il relativo parere sarà acquisito nell’ambito </w:t>
      </w:r>
      <w:r w:rsidR="00CE2320">
        <w:rPr>
          <w:b/>
          <w:bCs/>
        </w:rPr>
        <w:t>di tale procedimento</w:t>
      </w:r>
      <w:r w:rsidR="00CE2320" w:rsidRPr="00CE2320">
        <w:rPr>
          <w:b/>
          <w:bCs/>
        </w:rPr>
        <w:t>.</w:t>
      </w:r>
    </w:p>
    <w:p w14:paraId="5A77BFA5" w14:textId="77777777" w:rsidR="00D916AF" w:rsidRDefault="00D916AF" w:rsidP="00825282">
      <w:pPr>
        <w:rPr>
          <w:b/>
          <w:bCs/>
        </w:rPr>
      </w:pPr>
    </w:p>
    <w:p w14:paraId="599D6823" w14:textId="0ED347D7" w:rsidR="00825282" w:rsidRPr="00825282" w:rsidRDefault="00825282" w:rsidP="00825282">
      <w:r w:rsidRPr="00825282">
        <w:rPr>
          <w:b/>
          <w:bCs/>
        </w:rPr>
        <w:t>VALUTAZIONI AMBIENTALI</w:t>
      </w:r>
    </w:p>
    <w:p w14:paraId="28A38B7D" w14:textId="0E7C0A20" w:rsidR="00CE2320" w:rsidRDefault="00CE2320" w:rsidP="00804B4C">
      <w:pPr>
        <w:jc w:val="both"/>
      </w:pPr>
      <w:r>
        <w:t>Nel caso in cui l’impianto proposto ricada, per tipologia e dimensioni, nell</w:t>
      </w:r>
      <w:r w:rsidR="00804B4C">
        <w:t xml:space="preserve">e casistiche indicate negli allegati alla </w:t>
      </w:r>
      <w:proofErr w:type="spellStart"/>
      <w:r w:rsidR="00804B4C">
        <w:t>l.r</w:t>
      </w:r>
      <w:proofErr w:type="spellEnd"/>
      <w:r w:rsidR="00804B4C">
        <w:t>. 5/2010 dovranno essere espletate anche le procedure di Verifica di assoggettabilità a VIA o di VIA.</w:t>
      </w:r>
    </w:p>
    <w:p w14:paraId="46140478" w14:textId="77777777" w:rsidR="00825282" w:rsidRPr="00825282" w:rsidRDefault="00825282" w:rsidP="00804B4C">
      <w:pPr>
        <w:jc w:val="both"/>
      </w:pPr>
      <w:r w:rsidRPr="00825282">
        <w:t>La presentazione da parte del proponente, dell’istanza di verifica di assoggettabilità alla VIA, comprensiva della documentazione a corredo e di copia dell’avvenuto pagamento dei relativi oneri istruttori, esclusivamente in modalità telematica tramite l’applicativo web S.I.L.V.I.A</w:t>
      </w:r>
      <w:r w:rsidRPr="00825282">
        <w:rPr>
          <w:b/>
          <w:bCs/>
        </w:rPr>
        <w:t>. (</w:t>
      </w:r>
      <w:hyperlink r:id="rId6" w:history="1">
        <w:r w:rsidRPr="00825282">
          <w:rPr>
            <w:rStyle w:val="Collegamentoipertestuale"/>
          </w:rPr>
          <w:t>https://www.silvia.servizirl.it/silvia</w:t>
        </w:r>
      </w:hyperlink>
      <w:r w:rsidRPr="00825282">
        <w:t>).</w:t>
      </w:r>
    </w:p>
    <w:p w14:paraId="50F6205E" w14:textId="77777777" w:rsidR="00825282" w:rsidRPr="00825282" w:rsidRDefault="00825282" w:rsidP="00825282">
      <w:r w:rsidRPr="00825282">
        <w:t> </w:t>
      </w:r>
    </w:p>
    <w:p w14:paraId="121CE433" w14:textId="77777777" w:rsidR="00CD783B" w:rsidRDefault="00CD783B" w:rsidP="00825282">
      <w:pPr>
        <w:rPr>
          <w:b/>
          <w:bCs/>
        </w:rPr>
      </w:pPr>
    </w:p>
    <w:p w14:paraId="3E4AF517" w14:textId="6744115A" w:rsidR="00825282" w:rsidRPr="00825282" w:rsidRDefault="00825282" w:rsidP="00825282"/>
    <w:p w14:paraId="5CA9422E" w14:textId="77777777" w:rsidR="00825282" w:rsidRPr="00825282" w:rsidRDefault="00825282" w:rsidP="00825282">
      <w:pPr>
        <w:rPr>
          <w:b/>
          <w:bCs/>
        </w:rPr>
      </w:pPr>
      <w:r w:rsidRPr="00825282">
        <w:rPr>
          <w:b/>
          <w:bCs/>
        </w:rPr>
        <w:lastRenderedPageBreak/>
        <w:t>Costi</w:t>
      </w:r>
    </w:p>
    <w:p w14:paraId="645CBBD8" w14:textId="77777777" w:rsidR="00825282" w:rsidRPr="00825282" w:rsidRDefault="00825282" w:rsidP="00804B4C">
      <w:pPr>
        <w:jc w:val="both"/>
      </w:pPr>
      <w:r w:rsidRPr="00825282">
        <w:t xml:space="preserve">Alla domanda si applicano le disposizioni in materia di bollo da 16,00 euro (D.P.R. 642/1972 e </w:t>
      </w:r>
      <w:proofErr w:type="spellStart"/>
      <w:r w:rsidRPr="00825282">
        <w:t>s.m.i.</w:t>
      </w:r>
      <w:proofErr w:type="spellEnd"/>
      <w:r w:rsidRPr="00825282">
        <w:t>), il cui annullamento (facoltà prevista dall'articolo 3 del Decreto Ministeriale 10/11/2011), può essere dichiarato con dichiarazione sostitutiva di notorietà sottoscritta digitalmente o firmata con allegata fotocopia di un valido documento di identità, ai sensi dall'articolo 76 del Decreto del Presidente della Repubblica 28/12/2000, n. 445 e dall'articolo 483 del Codice penale. Il proponente dovrà conservare l’origine annullato da mostrare in caso di controllo.</w:t>
      </w:r>
    </w:p>
    <w:p w14:paraId="549F4534" w14:textId="77777777" w:rsidR="00825282" w:rsidRPr="00825282" w:rsidRDefault="00825282" w:rsidP="00804B4C">
      <w:pPr>
        <w:jc w:val="both"/>
      </w:pPr>
      <w:r w:rsidRPr="00825282">
        <w:t>Il proponente dell'impianto deve provvedere al pagamento a favore della Provincia di una somma pari allo 0,03 % del valore complessivo dell'investimento comprensivo anche dei costi per la connessione alla rete di trasmissione/distribuzione dell'energia elettrica (il valore complessivo dell'investimento coincide con il computo metrico estimativo dell'impianto).</w:t>
      </w:r>
    </w:p>
    <w:p w14:paraId="3C5CA824" w14:textId="57A5875D" w:rsidR="00184CAD" w:rsidRDefault="00825282" w:rsidP="00CD783B">
      <w:bookmarkStart w:id="0" w:name="_Hlk190437235"/>
      <w:r w:rsidRPr="00825282">
        <w:t>Il pagamento d</w:t>
      </w:r>
      <w:r w:rsidR="00184CAD">
        <w:t>eve</w:t>
      </w:r>
      <w:r w:rsidRPr="00825282">
        <w:t xml:space="preserve"> essere effettuato a favore della provincia di </w:t>
      </w:r>
      <w:r w:rsidR="00184CAD">
        <w:t>Lecco</w:t>
      </w:r>
      <w:r w:rsidRPr="00825282">
        <w:t xml:space="preserve"> </w:t>
      </w:r>
      <w:r w:rsidR="00CD783B">
        <w:t xml:space="preserve">mediante </w:t>
      </w:r>
      <w:r w:rsidRPr="00825282">
        <w:t xml:space="preserve">versamento </w:t>
      </w:r>
      <w:r w:rsidR="00184CAD">
        <w:t xml:space="preserve">con il sistema PagoPA attraverso il seguente link: </w:t>
      </w:r>
    </w:p>
    <w:p w14:paraId="057FC748" w14:textId="1550F7EC" w:rsidR="00825282" w:rsidRPr="00CD783B" w:rsidRDefault="00CD783B" w:rsidP="00CD783B">
      <w:pPr>
        <w:pStyle w:val="Paragrafoelenco"/>
        <w:ind w:left="0"/>
        <w:rPr>
          <w:sz w:val="22"/>
          <w:szCs w:val="22"/>
        </w:rPr>
      </w:pPr>
      <w:hyperlink r:id="rId7" w:history="1">
        <w:r w:rsidRPr="00C249F7">
          <w:rPr>
            <w:rStyle w:val="Collegamentoipertestuale"/>
            <w:sz w:val="22"/>
            <w:szCs w:val="22"/>
          </w:rPr>
          <w:t>https://provincia-lecco.e-pal.it/PagamentiOnLine/pagamentiSpontanei/openServizioSpontaneo/49</w:t>
        </w:r>
      </w:hyperlink>
      <w:r w:rsidR="00825282" w:rsidRPr="00CD783B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</w:p>
    <w:bookmarkEnd w:id="0"/>
    <w:p w14:paraId="0D23DB6D" w14:textId="77777777" w:rsidR="00825282" w:rsidRPr="00825282" w:rsidRDefault="00825282" w:rsidP="00825282">
      <w:r w:rsidRPr="00825282">
        <w:t> </w:t>
      </w:r>
    </w:p>
    <w:p w14:paraId="33A5A4D0" w14:textId="77777777" w:rsidR="00825282" w:rsidRPr="00825282" w:rsidRDefault="00825282" w:rsidP="00825282">
      <w:r w:rsidRPr="00825282">
        <w:rPr>
          <w:b/>
          <w:bCs/>
        </w:rPr>
        <w:t>Garanzie fideiussorie</w:t>
      </w:r>
    </w:p>
    <w:p w14:paraId="74B08C96" w14:textId="77777777" w:rsidR="00825282" w:rsidRPr="00825282" w:rsidRDefault="00825282" w:rsidP="00184CAD">
      <w:pPr>
        <w:jc w:val="both"/>
      </w:pPr>
      <w:r w:rsidRPr="00825282">
        <w:t xml:space="preserve">Con </w:t>
      </w:r>
      <w:proofErr w:type="spellStart"/>
      <w:r w:rsidRPr="00825282">
        <w:t>d.d.s</w:t>
      </w:r>
      <w:proofErr w:type="spellEnd"/>
      <w:r w:rsidRPr="00825282">
        <w:t xml:space="preserve">. del 19 dicembre 2014 - n. 12478, Regione Lombardia ha adottato un nuovo schema di fideiussione a carico dei soggetti autorizzati ai sensi del D.lgs. 387/2003 e </w:t>
      </w:r>
      <w:proofErr w:type="spellStart"/>
      <w:r w:rsidRPr="00825282">
        <w:t>s.m.i.</w:t>
      </w:r>
      <w:proofErr w:type="spellEnd"/>
      <w:r w:rsidRPr="00825282">
        <w:t>, da presentare alla Provincia prima della costruzione e messa in esercizio dell'impianto di produzione di energia alimentato da fonti rinnovabili. Il suddetto decreto D.D.S. del 19 dicembre 2014 - n. 12478 è stato pubblicato sul BURL - Serie Ordinaria n. 52 - martedì 23 dicembre 2014.</w:t>
      </w:r>
    </w:p>
    <w:p w14:paraId="238E4E85" w14:textId="00EA7DA4" w:rsidR="00825282" w:rsidRPr="00825282" w:rsidRDefault="00825282" w:rsidP="00825282">
      <w:r w:rsidRPr="00825282">
        <w:t> </w:t>
      </w:r>
    </w:p>
    <w:p w14:paraId="2566FFD0" w14:textId="77777777" w:rsidR="00825282" w:rsidRPr="00825282" w:rsidRDefault="00825282" w:rsidP="00825282">
      <w:pPr>
        <w:rPr>
          <w:b/>
          <w:bCs/>
        </w:rPr>
      </w:pPr>
      <w:r w:rsidRPr="00825282">
        <w:rPr>
          <w:b/>
          <w:bCs/>
        </w:rPr>
        <w:t>Tempi</w:t>
      </w:r>
    </w:p>
    <w:p w14:paraId="7B708A94" w14:textId="77777777" w:rsidR="00825282" w:rsidRPr="00825282" w:rsidRDefault="00825282" w:rsidP="00184CAD">
      <w:pPr>
        <w:jc w:val="both"/>
      </w:pPr>
      <w:proofErr w:type="spellStart"/>
      <w:r w:rsidRPr="00825282">
        <w:t>ll</w:t>
      </w:r>
      <w:proofErr w:type="spellEnd"/>
      <w:r w:rsidRPr="00825282">
        <w:t xml:space="preserve"> termine massimo per la conclusione del procedimento unico è pari a novanta giorni nel caso dei progetti di cui al comma 3-bis per i progetti che non siano sottoposti alle valutazioni ambientali di cui al titolo III della parte seconda del decreto legislativo 3 aprile 2006, n. 152.</w:t>
      </w:r>
    </w:p>
    <w:p w14:paraId="27813C90" w14:textId="77777777" w:rsidR="00825282" w:rsidRPr="00825282" w:rsidRDefault="00825282" w:rsidP="00184CAD">
      <w:pPr>
        <w:jc w:val="both"/>
      </w:pPr>
      <w:r w:rsidRPr="00825282">
        <w:t>Se sottoposti alle valutazioni ambientali, il termine massimo per la conclusione del procedimento unico è pari a sessanta giorni, al netto dei tempi previsti per le procedure di valutazione ambientale di cui al titolo III della parte seconda del decreto legislativo 3 aprile 2006, n. 152, se occorrenti.</w:t>
      </w:r>
    </w:p>
    <w:p w14:paraId="23FD3043" w14:textId="77777777" w:rsidR="00825282" w:rsidRDefault="00825282" w:rsidP="00825282">
      <w:r w:rsidRPr="00825282">
        <w:t> </w:t>
      </w:r>
    </w:p>
    <w:p w14:paraId="16D6F9CD" w14:textId="77777777" w:rsidR="00CD783B" w:rsidRDefault="00CD783B" w:rsidP="00825282"/>
    <w:p w14:paraId="57DC376C" w14:textId="77777777" w:rsidR="00CD783B" w:rsidRPr="00825282" w:rsidRDefault="00CD783B" w:rsidP="00825282"/>
    <w:p w14:paraId="43314CE9" w14:textId="77777777" w:rsidR="00825282" w:rsidRPr="00825282" w:rsidRDefault="00825282" w:rsidP="00825282">
      <w:pPr>
        <w:rPr>
          <w:b/>
          <w:bCs/>
        </w:rPr>
      </w:pPr>
      <w:r w:rsidRPr="00825282">
        <w:rPr>
          <w:b/>
          <w:bCs/>
        </w:rPr>
        <w:lastRenderedPageBreak/>
        <w:t>Note</w:t>
      </w:r>
    </w:p>
    <w:p w14:paraId="556066ED" w14:textId="77777777" w:rsidR="00825282" w:rsidRPr="00825282" w:rsidRDefault="00825282" w:rsidP="003C0F7D">
      <w:pPr>
        <w:jc w:val="both"/>
      </w:pPr>
      <w:r w:rsidRPr="00825282">
        <w:t>Gli interessati possono ottenere le informazioni relative ai procedimenti in corso contattando i relativi responsabili ai numeri telefonici e/o all'indirizzo e-mail sottoindicati.</w:t>
      </w:r>
    </w:p>
    <w:p w14:paraId="3E46EF89" w14:textId="77777777" w:rsidR="00825282" w:rsidRPr="00825282" w:rsidRDefault="00825282" w:rsidP="00825282">
      <w:r w:rsidRPr="00825282">
        <w:t> </w:t>
      </w:r>
    </w:p>
    <w:p w14:paraId="4260319D" w14:textId="77777777" w:rsidR="00825282" w:rsidRPr="00825282" w:rsidRDefault="00825282" w:rsidP="00825282">
      <w:r w:rsidRPr="00825282">
        <w:rPr>
          <w:b/>
          <w:bCs/>
        </w:rPr>
        <w:t>NORMATIVA DI RIFERIMENTO:</w:t>
      </w:r>
      <w:r w:rsidRPr="00825282">
        <w:br/>
        <w:t xml:space="preserve">D. Lsg. 387/03, art. 12, comma 3, e </w:t>
      </w:r>
      <w:proofErr w:type="spellStart"/>
      <w:r w:rsidRPr="00825282">
        <w:t>s.m.i.</w:t>
      </w:r>
      <w:proofErr w:type="spellEnd"/>
    </w:p>
    <w:p w14:paraId="7F5C1B83" w14:textId="3BBC7F5B" w:rsidR="00825282" w:rsidRPr="00825282" w:rsidRDefault="00825282" w:rsidP="00825282">
      <w:r w:rsidRPr="00825282">
        <w:t xml:space="preserve">d.lgs. 152/2006 e </w:t>
      </w:r>
      <w:proofErr w:type="spellStart"/>
      <w:r w:rsidRPr="00825282">
        <w:t>s.m.i.</w:t>
      </w:r>
      <w:proofErr w:type="spellEnd"/>
      <w:r w:rsidR="00CD783B" w:rsidRPr="00CD783B">
        <w:t xml:space="preserve"> </w:t>
      </w:r>
      <w:r w:rsidR="00CD783B">
        <w:t xml:space="preserve">- </w:t>
      </w:r>
      <w:r w:rsidR="00CD783B" w:rsidRPr="00825282">
        <w:t>parte II</w:t>
      </w:r>
      <w:r w:rsidRPr="00825282">
        <w:t>;</w:t>
      </w:r>
    </w:p>
    <w:p w14:paraId="0B987BBC" w14:textId="77777777" w:rsidR="00825282" w:rsidRPr="00825282" w:rsidRDefault="00825282" w:rsidP="00825282">
      <w:r w:rsidRPr="00825282">
        <w:t>D.M. 10.09.2010;</w:t>
      </w:r>
    </w:p>
    <w:p w14:paraId="73CF9A9C" w14:textId="77777777" w:rsidR="00825282" w:rsidRPr="00825282" w:rsidRDefault="00825282" w:rsidP="00825282">
      <w:r w:rsidRPr="00825282">
        <w:t xml:space="preserve">d.lgs. 28/2011 e </w:t>
      </w:r>
      <w:proofErr w:type="spellStart"/>
      <w:r w:rsidRPr="00825282">
        <w:t>s.m.i.</w:t>
      </w:r>
      <w:proofErr w:type="spellEnd"/>
      <w:r w:rsidRPr="00825282">
        <w:t>;</w:t>
      </w:r>
    </w:p>
    <w:p w14:paraId="7E6B3F2A" w14:textId="77777777" w:rsidR="00825282" w:rsidRPr="00825282" w:rsidRDefault="00825282" w:rsidP="00825282">
      <w:proofErr w:type="spellStart"/>
      <w:r w:rsidRPr="00825282">
        <w:t>d.d.s</w:t>
      </w:r>
      <w:proofErr w:type="spellEnd"/>
      <w:r w:rsidRPr="00825282">
        <w:t>. del 19 dicembre 2014 - n. 12478;</w:t>
      </w:r>
    </w:p>
    <w:p w14:paraId="73632F0F" w14:textId="77777777" w:rsidR="00825282" w:rsidRPr="00825282" w:rsidRDefault="00825282" w:rsidP="00825282">
      <w:r w:rsidRPr="00825282">
        <w:t xml:space="preserve">Linee Guida regionali di cui alla </w:t>
      </w:r>
      <w:proofErr w:type="spellStart"/>
      <w:r w:rsidRPr="00825282">
        <w:t>d.g.r</w:t>
      </w:r>
      <w:proofErr w:type="spellEnd"/>
      <w:r w:rsidRPr="00825282">
        <w:t>. XI/4803 del 31/05/2021;</w:t>
      </w:r>
    </w:p>
    <w:p w14:paraId="3F113594" w14:textId="77777777" w:rsidR="00825282" w:rsidRPr="00825282" w:rsidRDefault="00825282" w:rsidP="00825282">
      <w:r w:rsidRPr="00825282">
        <w:t xml:space="preserve">d.lgs. 199/2021 e </w:t>
      </w:r>
      <w:proofErr w:type="spellStart"/>
      <w:r w:rsidRPr="00825282">
        <w:t>s.m.i.</w:t>
      </w:r>
      <w:proofErr w:type="spellEnd"/>
    </w:p>
    <w:p w14:paraId="12415499" w14:textId="77777777" w:rsidR="00825282" w:rsidRPr="00825282" w:rsidRDefault="00825282" w:rsidP="00825282">
      <w:proofErr w:type="spellStart"/>
      <w:r w:rsidRPr="00825282">
        <w:t>d.g.r</w:t>
      </w:r>
      <w:proofErr w:type="spellEnd"/>
      <w:r w:rsidRPr="00825282">
        <w:t>. XI/7553 del 15/12/2022;</w:t>
      </w:r>
    </w:p>
    <w:p w14:paraId="6F571F49" w14:textId="77777777" w:rsidR="00825282" w:rsidRDefault="00825282" w:rsidP="00825282">
      <w:proofErr w:type="spellStart"/>
      <w:r w:rsidRPr="00825282">
        <w:t>d.g.r</w:t>
      </w:r>
      <w:proofErr w:type="spellEnd"/>
      <w:r w:rsidRPr="00825282">
        <w:t>. 2783 del 15/07/24</w:t>
      </w:r>
    </w:p>
    <w:p w14:paraId="5EC46F71" w14:textId="29703795" w:rsidR="00CD783B" w:rsidRPr="00825282" w:rsidRDefault="00CD783B" w:rsidP="00825282">
      <w:r>
        <w:t>decreto legislativo 190 del 25 novembre 2024</w:t>
      </w:r>
    </w:p>
    <w:p w14:paraId="15BE483C" w14:textId="77777777" w:rsidR="00976744" w:rsidRDefault="00976744"/>
    <w:sectPr w:rsidR="00976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748BD"/>
    <w:multiLevelType w:val="multilevel"/>
    <w:tmpl w:val="6336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D09EE"/>
    <w:multiLevelType w:val="multilevel"/>
    <w:tmpl w:val="30988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B236CD"/>
    <w:multiLevelType w:val="multilevel"/>
    <w:tmpl w:val="2F844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8994107">
    <w:abstractNumId w:val="1"/>
  </w:num>
  <w:num w:numId="2" w16cid:durableId="11272595">
    <w:abstractNumId w:val="2"/>
  </w:num>
  <w:num w:numId="3" w16cid:durableId="183691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82"/>
    <w:rsid w:val="00184CAD"/>
    <w:rsid w:val="001D60BD"/>
    <w:rsid w:val="00214B12"/>
    <w:rsid w:val="003C0F7D"/>
    <w:rsid w:val="003D2EBA"/>
    <w:rsid w:val="00457FFA"/>
    <w:rsid w:val="00530675"/>
    <w:rsid w:val="005A18FD"/>
    <w:rsid w:val="00804B4C"/>
    <w:rsid w:val="00825282"/>
    <w:rsid w:val="00874C85"/>
    <w:rsid w:val="00935D06"/>
    <w:rsid w:val="00976744"/>
    <w:rsid w:val="00A726A4"/>
    <w:rsid w:val="00AA3C39"/>
    <w:rsid w:val="00CD783B"/>
    <w:rsid w:val="00CE2320"/>
    <w:rsid w:val="00D13387"/>
    <w:rsid w:val="00D916AF"/>
    <w:rsid w:val="00DC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B4B3E"/>
  <w15:chartTrackingRefBased/>
  <w15:docId w15:val="{404FFBD4-FF6B-4875-98E9-24DF4F48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52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5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52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52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52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52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52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52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52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52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52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52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528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528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52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52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52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52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52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5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52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52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5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52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52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528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52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528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5282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2528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528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A1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2577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5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5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1521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43383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9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09623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1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10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811839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4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2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26556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27454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5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5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982521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vincia-lecco.e-pal.it/PagamentiOnLine/pagamentiSpontanei/openServizioSpontaneo/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ilvia.servizirl.it/silvia" TargetMode="External"/><Relationship Id="rId5" Type="http://schemas.openxmlformats.org/officeDocument/2006/relationships/hyperlink" Target="https://www.procedimenti.servizirl.it/procedimenti/html/public/ambito/Ambito_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Tagliaferri</dc:creator>
  <cp:keywords/>
  <dc:description/>
  <cp:lastModifiedBy>Francesco Tagliaferri</cp:lastModifiedBy>
  <cp:revision>3</cp:revision>
  <dcterms:created xsi:type="dcterms:W3CDTF">2025-02-28T12:50:00Z</dcterms:created>
  <dcterms:modified xsi:type="dcterms:W3CDTF">2025-02-28T12:54:00Z</dcterms:modified>
</cp:coreProperties>
</file>